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F5" w:rsidRPr="000665F5" w:rsidRDefault="000665F5" w:rsidP="000665F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Закон</w:t>
      </w: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Краснодарского края</w:t>
      </w: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от 23 апреля 2013 г. N 2695-КЗ  </w:t>
      </w:r>
    </w:p>
    <w:p w:rsidR="000665F5" w:rsidRPr="000665F5" w:rsidRDefault="000665F5" w:rsidP="000665F5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Об охране зеленых насаждений в Краснодарском крае</w:t>
      </w: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Принят Законодательным Собранием Краснодарского края</w:t>
      </w: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16 апреля 2013 года</w:t>
      </w:r>
      <w:r w:rsidRPr="000665F5">
        <w:rPr>
          <w:rFonts w:ascii="Arial" w:eastAsia="Times New Roman" w:hAnsi="Arial" w:cs="Arial"/>
          <w:b/>
          <w:bCs/>
          <w:color w:val="000000"/>
          <w:sz w:val="24"/>
        </w:rPr>
        <w:t>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t>____________________________________________________________________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 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Текст документа с изменениями, внесенными: 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hyperlink r:id="rId4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Законом Краснодарского края от 29.05.2014 г. № 2974-КЗ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hyperlink r:id="rId5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Законом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hyperlink r:id="rId6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Законом Краснодарского края от 04.04.2016 г. № 3361-КЗ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______________________________________________________________________________    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</w:p>
    <w:p w:rsidR="000665F5" w:rsidRPr="000665F5" w:rsidRDefault="000665F5" w:rsidP="000665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     Статья 1. Предмет регулирования настоящего Закона</w:t>
      </w:r>
      <w:r w:rsidRPr="000665F5">
        <w:rPr>
          <w:rFonts w:ascii="Arial" w:eastAsia="Times New Roman" w:hAnsi="Arial" w:cs="Arial"/>
          <w:b/>
          <w:bCs/>
          <w:color w:val="000000"/>
          <w:sz w:val="24"/>
        </w:rPr>
        <w:t>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1. Настоящий Закон в соответствии с законодательством в области охраны окружающей среды регулирует отношения в сфере охраны зеленых насаждений в Краснодарском крае.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2. Действие настоящего Закона распространяется на отношения в сфере охраны зеленых насаждений, расположенных на территориях поселений и городских округов Краснодарского края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садоводческим, огородническим или дачным некоммерческим объединениям граждан, земельных участков, расположенных на особо охраняемых природных территориях и землях лесного фонда.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(В ред. </w:t>
      </w:r>
      <w:hyperlink r:id="rId7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(В ред. </w:t>
      </w:r>
      <w:hyperlink r:id="rId8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04.04.2016 г. № 3361-КЗ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2.1. Положения настоящего Закона не распространяются на отношения в сфере охраны зеленых насаждений, расположенных на особо охраняемых природных территориях, за исключением случаев проведения уходных работ за зелеными насаждениями (санитарная рубка, обрезка зеленых насаждений, заделка дупел и трещин).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(Часть включена </w:t>
      </w:r>
      <w:hyperlink r:id="rId9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Законом Краснодарского края от 04.04.2016 г. № 3361-КЗ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 xml:space="preserve">     3. Действие настоящего Закона может распространяться на отношения в сфере охраны зеленых насаждений, расположенных на участках, предоставленных гражданам для индивидуального жилищного строительства, и участках, предоставленных садоводческим, огородническим или дачным 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t>некоммерческим объединениям граждан, на которых расположены зеленые насаждения, включенные местными администрациями поселений, городских округов в отдельный перечень древесных пород, требующих особой охраны.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4. Часть утратила силу на основании </w:t>
      </w:r>
      <w:hyperlink r:id="rId10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.</w:t>
      </w:r>
    </w:p>
    <w:p w:rsidR="000665F5" w:rsidRPr="000665F5" w:rsidRDefault="000665F5" w:rsidP="000665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     Статья 2. Основные понятия, применяемые в настоящем Законе</w:t>
      </w:r>
      <w:r w:rsidRPr="000665F5">
        <w:rPr>
          <w:rFonts w:ascii="Arial" w:eastAsia="Times New Roman" w:hAnsi="Arial" w:cs="Arial"/>
          <w:b/>
          <w:bCs/>
          <w:color w:val="000000"/>
          <w:sz w:val="24"/>
        </w:rPr>
        <w:t>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Для целей настоящего Закона применяются следующие основные понятия: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1) зеленые насаждения - 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2) дерево - многолетнее растение с четко выраженным стволом, несущими боковыми ветвями и верхушечным побегом;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3) кустарник - многолетнее растение, ветвящееся у самой поверхности почвы и не имеющее во взрослом состоянии главного ствола;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4) травяной покров - газон, естественная травяная растительность;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5) цветник - участок геометрической или свободной формы с высаженными одно-, двух- или многолетними цветочными растениями;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6) заросли - деревья и (или) кустарники самосевного и порослевого происхождения, образующие единый сомкнутый полог;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7) охрана зеленых насаждений - система мер, направленных на защиту зеленых насаждений от негативного воздействия хозяйственной и иной деятельности, включающая в том числе и борьбу с болезнями и вредителями растений;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8) 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9) повреждение зеленых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10) уничтожение зеленых насаждений -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t>     11) 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12) сухостойные деревья и кустарники - деревья и кустарники, утратившие физиологическую устойчивость и подлежащие вырубке;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12.1) санитарные рубки - рубки, проводимые с целью улучшения санитарного состояния зеленых насаждений (в том числе удаление аварийно-опасных, сухостойных и больных деревьев и кустарников), производимые по результатам обследования зеленых насаждений органами местного самоуправления поселений, городских округов Краснодарского края;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(Пункт включен на основании </w:t>
      </w:r>
      <w:hyperlink r:id="rId11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13) порубочный билет - разрешительный документ, выданный уполномоченным органом местного самоуправления, 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(Пункт в ред. </w:t>
      </w:r>
      <w:hyperlink r:id="rId12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14) инвентаризация зеленых насаждений - процесс регистрации информации о количестве зеленых насаждений на территориях поселений, городских округов, их состоянии для ведения муниципального хозяйства на всех уровнях управления, эксплуатации и финансирования, отнесения их к соответствующим категории земель, охранному статусу и режиму содержания;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15) компенсационное озеленение - деятельность органов местного самоуправления по созданию зеленых насаждений взамен уничтоженных и их сохранению до полной приживаемости на территориях поселений, городских округов;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16) 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озеленения. </w:t>
      </w:r>
    </w:p>
    <w:p w:rsidR="000665F5" w:rsidRPr="000665F5" w:rsidRDefault="000665F5" w:rsidP="000665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     Статья 3. Особенности содержания зеленых насаждений</w:t>
      </w:r>
      <w:r w:rsidRPr="000665F5">
        <w:rPr>
          <w:rFonts w:ascii="Arial" w:eastAsia="Times New Roman" w:hAnsi="Arial" w:cs="Arial"/>
          <w:b/>
          <w:bCs/>
          <w:color w:val="000000"/>
          <w:sz w:val="24"/>
        </w:rPr>
        <w:t>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1. Собственники, арендаторы земельных участков, землепользователи и землевладельцы обеспечивают надлежащее содержание и защиту находящихся на земельных участках зеленых насаждений и несут ответственность согласно законодательству об охране окружающей среды.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2. Запрещается: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1) повреждение и уничтожение зеленых насаждений, за исключением случаев, установленных федеральным законодательством и настоящим Законом;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 xml:space="preserve">     2) хозяйственная и иная деятельность на территориях, занятых зелеными насаждениями, оказывающая на них негативное воздействие и препятствующая выполнению зелеными насаждениями средообразующих, рекреационных, санитарно-гигиенических и экологических функций, за исключением случаев, 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t>установленных федеральным законодательством и настоящим Законом.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3.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поселений, городских округов Краснодарского края (далее - плата), которая исчисляется в порядке, прилагаемом к настоящему Закону (далее - Порядок). При несанкционированной вырубке (уничтожении) зеленых насаждений плата рассчитывается в пятикратном размере.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3.1. 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объема кроны.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(Часть включена на основании </w:t>
      </w:r>
      <w:hyperlink r:id="rId13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(В ред. </w:t>
      </w:r>
      <w:hyperlink r:id="rId14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04.04.2016 г. № 3361-КЗ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4. 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в том числе Приказа Государственного комитета Российской Федерации по строительству и жилищно-коммунальному комплексу от 15 декабря 1999 года N 153 "Об утверждении Правил создания, охраны и содержания зеленых насаждений в городах Российской Федерации", настоящего Закона, а также с утвержденными органами местного самоуправления муниципальных образований Краснодарского края правилами благоустройства территории.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(В ред. </w:t>
      </w:r>
      <w:hyperlink r:id="rId15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</w:p>
    <w:p w:rsidR="000665F5" w:rsidRPr="000665F5" w:rsidRDefault="000665F5" w:rsidP="000665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     Статья 4. Оформление порубочного билета</w:t>
      </w:r>
      <w:r w:rsidRPr="000665F5">
        <w:rPr>
          <w:rFonts w:ascii="Arial" w:eastAsia="Times New Roman" w:hAnsi="Arial" w:cs="Arial"/>
          <w:b/>
          <w:bCs/>
          <w:color w:val="000000"/>
          <w:sz w:val="24"/>
        </w:rPr>
        <w:t> </w:t>
      </w:r>
    </w:p>
    <w:p w:rsidR="000665F5" w:rsidRPr="000665F5" w:rsidRDefault="000665F5" w:rsidP="000665F5">
      <w:pPr>
        <w:shd w:val="clear" w:color="auto" w:fill="FFFFFF"/>
        <w:spacing w:before="33" w:after="24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1. Лица, осуществляющие хозяйственную и иную деятельность на территории муниципальных образований Краснодарского края, для которой требуется вырубка (уничтожение) зеленых насаждений, для получения порубочного билета подают в местную администрацию поселения, городского округа, на территории которого необходимо осуществить вырубку, заявление о необходимости выдачи указанного билета. В заявлении указывается основание необходимости вырубки (уничтожения) зеленых насаждений.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2. К заявлению прилагаются: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1) Пункт утратил силу на основании </w:t>
      </w:r>
      <w:hyperlink r:id="rId16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2) градостроительный план земельного участка;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3) информация о сроке выполнения работ;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t>     4) банковские реквизиты заявителя.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5)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(Пункт включен на основании </w:t>
      </w:r>
      <w:hyperlink r:id="rId17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29.05.2014 г. № 2974-КЗ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3. Местная администрация поселения, городского округа, на территории которого необходимо осуществить вырубку (уничтожение) зеленых насаждений, в течение 15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(Часть в ред. </w:t>
      </w:r>
      <w:hyperlink r:id="rId18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29.05.2014 г. № 2974-КЗ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(В ред. </w:t>
      </w:r>
      <w:hyperlink r:id="rId19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4. Местная администрация поселения, городского округа в соответствии с актом обследования по установленной форме, а также после внесения платы выдает заявителю порубочный билет в течение трех дней. Форма акта обследования разрабатывается и утверждается местной администрацией поселения, городского округа. Местная администрация поселения, городского округа ведет учет оформленных порубочных билетов.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5. Плата вносится на единый счет местного бюджета с указанием назначения платежа.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6. Процедура оформления порубочного билета осуществляется бесплатно.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7. 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     8.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8.1. В случае необходимости проведения уходных работ за зелеными насаждениями на земельных участках, расположенных на особо охраняемой природной территории, собственники земельных участков, землепользователи, землевладельцы и арендаторы земельных участков согласовывают проведение указанных работ с уполномоченным органом, в ведении которого находится особо охраняемая природная территория.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(Часть включена </w:t>
      </w:r>
      <w:hyperlink r:id="rId20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Законом Краснодарского края от 04.04.2016 г. № 3361-КЗ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9.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местную администрацию поселения, городского округа.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t>     9.1. Основанием для санитарной рубки не являющихся сухостойными деревьев и кустарников является акт их обследования местной администрацией поселения, городского округа с привлечением специалиста, обладающего необходимыми профессиональными знаниями.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(Часть включена на основании </w:t>
      </w:r>
      <w:hyperlink r:id="rId21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9.2. 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(Часть включена на основании </w:t>
      </w:r>
      <w:hyperlink r:id="rId22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9.3. 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официальных сайтах органов местного самоуправления в информационно-телекоммуникационной сети "Интернет".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(Часть включена на основании </w:t>
      </w:r>
      <w:hyperlink r:id="rId23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9.4. 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органами местного самоуправления поселений, городских округов Краснодарского края.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(Часть включена на основании </w:t>
      </w:r>
      <w:hyperlink r:id="rId24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(В ред. </w:t>
      </w:r>
      <w:hyperlink r:id="rId25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04.04.2016 г. № 3361-КЗ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</w:p>
    <w:p w:rsidR="000665F5" w:rsidRPr="000665F5" w:rsidRDefault="000665F5" w:rsidP="000665F5">
      <w:pPr>
        <w:shd w:val="clear" w:color="auto" w:fill="FFFFFF"/>
        <w:spacing w:before="33" w:after="24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     9.5. Проведение работ по санитарной рубке, санитарной, омолаживающей или формовочной обрезке зеленых насаждений без установки информационного щита, указанного в части 9.4 настоящей статьи, не допускается.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(Часть включена на основании </w:t>
      </w:r>
      <w:hyperlink r:id="rId26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     10. Основаниями для отказа в выдаче порубочного билета служат: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     1) неполный состав сведений в заявлении и представленных документах;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2) наличие недостоверных данных в представленных документах;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3) особый статус зеленых насаждений, предполагаемых для вырубки (уничтожения):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б) памятники историко-культурного наследия;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 xml:space="preserve">     в) деревья, кустарники, лианы, имеющие историческую и эстетическую 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t>ценность как неотъемлемые элементы ландшафта.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4) отрицательное заключение комиссии по обследованию зеленых насаждений.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(Пункт включен на основании </w:t>
      </w:r>
      <w:hyperlink r:id="rId27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11.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12. Лица, осуществляющие хозяйственную и иную деятельность на территории муниципальных образований Краснодарского края, для которой требуется проведение работ по санитарной, омолаживающей или формовочной обрезке зеленых насаждений, для получения порубочного билета подают в местную администрацию поселения, городского округа, на территории которого необходимо осуществить данные работы, заявление о необходимости выдачи указанного билета. В заявлении указывается основание необходимости проведения работ по санитарной, омолаживающей или формовочной обрезке зеленых насаждений.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(Часть включена на основании </w:t>
      </w:r>
      <w:hyperlink r:id="rId28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13. Виды работ по санитарной, омолаживающей или формовочной обрезке устанавливаются в порубочном билете.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(Часть включена на основании </w:t>
      </w:r>
      <w:hyperlink r:id="rId29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</w:p>
    <w:p w:rsidR="000665F5" w:rsidRPr="000665F5" w:rsidRDefault="000665F5" w:rsidP="000665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     Статья 5. Компенсационное озеленение</w:t>
      </w:r>
      <w:r w:rsidRPr="000665F5">
        <w:rPr>
          <w:rFonts w:ascii="Arial" w:eastAsia="Times New Roman" w:hAnsi="Arial" w:cs="Arial"/>
          <w:b/>
          <w:bCs/>
          <w:color w:val="000000"/>
          <w:sz w:val="24"/>
        </w:rPr>
        <w:t>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1. Компенсационное озеленение производится органами местного самоуправления поселений, городских округов Краснодарского края.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2. 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тех административно-территориальных единиц (населенных пунктов, сельских, поселковых, станичных округов, внутригородских районов, внутригородских округов), где были уничтожены зеленые насаждения. В этом случае озеленение производится в двойном размере как по количеству единиц растительности, так и по площади.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3. При формировании органами местного самоуправления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4.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br/>
        <w:t>     5. Видовой состав и возраст зеленых насаждений, высаживаемых на территории муниципального образования в порядке компенсационного озеленения, устанавливаются местной администрацией поселения, городского округа.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6. Параметры посадочного материала должны быть не менее: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1) у субтропических ценных растений высота - 1,5 - 2 м, ком земли - 1,0 x 0,8 м;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2) у субтропических растений длина окружности ствола - 8 - 10 см, высота - 2 - 3 м, ком земли - 0,5 х 0,4 м;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3) у деревьев хвойных высота-1,5 - 1,7 м, ком земли -0,8 х 0,6 м;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4) у деревьев лиственных 1-й группы длина окружности ствола - 8 - 10 см, ком земли - 0,5 х 0,4 м;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5) у деревьев лиственных 2-й группы длина окружности ствола - 8 - 10 см, ком земли - 0,5 х 0,4 м;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6) у деревьев лиственных 3-й группы длина окружности ствола - 8 - 10 см, ком земли - 0,5 х 0,4 м;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7) у кустарников высота - 0,3 м.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Длина окружности ствола измеряется на высоте 1,3 - 1,5 м.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7. Создание зеленых насаждений на территориях новых микрорайонов в городских и сельских поселениях не может рассматриваться как компенсационное озеленение. </w:t>
      </w:r>
    </w:p>
    <w:p w:rsidR="000665F5" w:rsidRPr="000665F5" w:rsidRDefault="000665F5" w:rsidP="000665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     Статья 6. Учет зеленых насаждений</w:t>
      </w:r>
      <w:r w:rsidRPr="000665F5">
        <w:rPr>
          <w:rFonts w:ascii="Arial" w:eastAsia="Times New Roman" w:hAnsi="Arial" w:cs="Arial"/>
          <w:b/>
          <w:bCs/>
          <w:color w:val="000000"/>
          <w:sz w:val="24"/>
        </w:rPr>
        <w:t>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1. Учет зеленых насаждений ведется в целях: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1) эффективного содержания и охраны зеленых насаждений;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2) определения обеспеченности поселений, городских округов зелеными насаждениями;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3) осуществления контроля за состоянием и использованием зеленых насаждений;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4) своевременного выявления аварийно-опасных деревьев, сухостойных деревьев и кустарников, принятия решений об их вырубке;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5) определения ущерба, нанесенного зеленым насаждениям;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 xml:space="preserve">     6) сбора информации, необходимой для расчета размера средств, составляющих компенсационную стоимость зеленых насаждений, а также 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t>объема компенсационного озеленения.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2. Учет зеленых насаждений ведется на основании данных инвентаризации.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3. Органы местного самоуправления поселения, городского округа ведут реестр зеленых насаждений, который содержит информацию: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1) о расположении земельных участков, занятых зелеными насаждениями;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2) об их площади;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3) о целевом назначении таких земельных участков;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4) о характеристике зеленых насаждений: жизненной форме, видовой принадлежности, возрасте, природоохранном статусе.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3.1. Форма и порядок ведения реестра зеленых насаждений утверждаются местной администрацией поселения, городского округа.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(Часть включена </w:t>
      </w:r>
      <w:hyperlink r:id="rId30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Законом Краснодарского края от 04.04.2016 г. № 3361-КЗ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4. Реестр зеленых насаждений размещается на официальном сайте администрации поселения, городского округа в информационно-телекоммуникационной сети "Интернет". </w:t>
      </w:r>
    </w:p>
    <w:p w:rsidR="000665F5" w:rsidRPr="000665F5" w:rsidRDefault="000665F5" w:rsidP="000665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     Статья 7. Права граждан и общественных объединений в сфере создания, воспроизводства, содержания, охраны, использования и учета зеленых насаждений</w:t>
      </w:r>
      <w:r w:rsidRPr="000665F5">
        <w:rPr>
          <w:rFonts w:ascii="Arial" w:eastAsia="Times New Roman" w:hAnsi="Arial" w:cs="Arial"/>
          <w:b/>
          <w:bCs/>
          <w:color w:val="000000"/>
          <w:sz w:val="24"/>
        </w:rPr>
        <w:t>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1) оказывать содействие органам местного самоуправления поселений, городских округов в решении вопросов создания, воспроизводства, содержания, охраны, использования и учета зеленых насаждений;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2) осуществлять общественный контроль за состоянием зеленых насаждений;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3) обращаться в органы местного самоуправления поселений, городских округов с сообщениями о фактах уничтожения или повреждения зеленых насаждений;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4) направлять в органы местного самоуправления поселений, городских округов предложения по рациональному использованию, защите зеленых насаждений, сохранению и увеличению их биологического разнообразия;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5) получать от органов местного самоуправления поселений, городских округов достоверную информацию о планируемых и ведущихся работах на территориях, занятых зелеными насаждениями, а также об учете зеленых насаждений;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(В ред. </w:t>
      </w:r>
      <w:hyperlink r:id="rId31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t>     6) создавать фонды и оказывать финансовую помощь для содержания зеленых насаждений.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7) участвовать в процессе подготовки и принятия решений в области градостроительной деятельности, оказывающих воздействие на зеленые насаждения.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(Пункт включен на основании </w:t>
      </w:r>
      <w:hyperlink r:id="rId32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</w:p>
    <w:p w:rsidR="000665F5" w:rsidRPr="000665F5" w:rsidRDefault="000665F5" w:rsidP="000665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     Статья 8. Ответственность за нарушение настоящего Закона</w:t>
      </w:r>
      <w:r w:rsidRPr="000665F5">
        <w:rPr>
          <w:rFonts w:ascii="Arial" w:eastAsia="Times New Roman" w:hAnsi="Arial" w:cs="Arial"/>
          <w:b/>
          <w:bCs/>
          <w:color w:val="000000"/>
          <w:sz w:val="24"/>
        </w:rPr>
        <w:t>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Нарушение требований настоящего Закона влечет за собой ответственность, предусмотренную законодательством Российской Федерации и законодательством Краснодарского края. </w:t>
      </w:r>
    </w:p>
    <w:p w:rsidR="000665F5" w:rsidRPr="000665F5" w:rsidRDefault="000665F5" w:rsidP="000665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     Статья 9. Вступление в силу настоящего Закона</w:t>
      </w:r>
      <w:r w:rsidRPr="000665F5">
        <w:rPr>
          <w:rFonts w:ascii="Arial" w:eastAsia="Times New Roman" w:hAnsi="Arial" w:cs="Arial"/>
          <w:b/>
          <w:bCs/>
          <w:color w:val="000000"/>
          <w:sz w:val="24"/>
        </w:rPr>
        <w:t>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Настоящий Закон вступает в силу через 10 дней после дня его официального опубликования.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     Глава администрации (губернатор)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     Краснодарского края                          А.Н. Ткачев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г. Краснодар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23 апреля 2013 года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N 2695-КЗ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t> Приложение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к Закону Краснодарского края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"Об охране зеленых насаждений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в Краснодарском крае"</w:t>
      </w:r>
    </w:p>
    <w:p w:rsidR="000665F5" w:rsidRPr="000665F5" w:rsidRDefault="000665F5" w:rsidP="000665F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Порядок исчисления платы за проведение компенсационного озеленения при уничтожении зеленых насаждений на территории поселений, городских округов Краснодарского края</w:t>
      </w: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Раздел I</w:t>
      </w: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Общие положения</w:t>
      </w:r>
      <w:r w:rsidRPr="000665F5">
        <w:rPr>
          <w:rFonts w:ascii="Arial" w:eastAsia="Times New Roman" w:hAnsi="Arial" w:cs="Arial"/>
          <w:b/>
          <w:bCs/>
          <w:color w:val="000000"/>
          <w:sz w:val="24"/>
        </w:rPr>
        <w:t>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1. Настоящий Порядок регулирует вопросы исчисления и взимания платы, подлежащей внесению в местный бюджет, за проведение компенсационного озеленения при уничтожении зеленых насаждений (далее - плата).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 xml:space="preserve">     2. Вред, нанесенный в результате уничтожения зеленых насаждений, рассчитывается с учетом влияния на ценность зеленых насаждений таких 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t>факторов, как местоположение, экологическая и социальная значимость объектов озеленения.</w:t>
      </w:r>
    </w:p>
    <w:p w:rsidR="000665F5" w:rsidRPr="000665F5" w:rsidRDefault="000665F5" w:rsidP="000665F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Раздел II</w:t>
      </w: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Классификация и идентификация зеленых насаждений для определения размера платы</w:t>
      </w:r>
      <w:r w:rsidRPr="000665F5">
        <w:rPr>
          <w:rFonts w:ascii="Arial" w:eastAsia="Times New Roman" w:hAnsi="Arial" w:cs="Arial"/>
          <w:b/>
          <w:bCs/>
          <w:color w:val="000000"/>
          <w:sz w:val="24"/>
        </w:rPr>
        <w:t>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3. Для расчета размера платы применяется классификация зеленых насаждений по следующим видам: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деревья;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кустарники, лианы;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(В ред. </w:t>
      </w:r>
      <w:hyperlink r:id="rId33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23.07.2015 г. № 3226-КЗ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травяной покров;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цветники;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заросли.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4. Распределение древесных пород по их ценности изложено в таблице 1: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Таблица 1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t>Г———————————T——————————T———————————T——————————————————————————————————¬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|Субтропиче-|Субтропи- |  Хвойные  |   Лиственные древесные породы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|ские ценные|  ческие  | растения  +——————————————————————————————————+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растения  | растения |           |1-я группа |2-я группа|3-я группа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          |           |  (особо   | (ценные) |(малоценные|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          |           |  ценные)  |          |     )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+———————————+——————————+———————————+———————————+——————————+———————————+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|Финик,     |тис,      |ель,       |бархат,    |береза,   |ива (кроме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|вашингтония|трахикар- |лиственница|амурский,  |плодовые  |белой),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|, бутия,   |пус,      |, пихта,   |вяз, дуб,  |(яблоня,  |ольха,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|хамеропс,  |магнолия, |сосна, туя,|ива белая, |груша,    |осина,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|юбея,      |камелия,  |можжевель- |каштан     |слива,    |тополь,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|сабаль и   |гинкго,   |ник,       |конский,   |вишня,    |тополь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|другие     |эвкалипт, |кипарис,   |клен (кроме|абрикос), |пирам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lastRenderedPageBreak/>
        <w:t>идаль-|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|агава,    |кипарисовик|клена      |рябина,   |ный и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|юкка,     |и другие   |ясенелист- |черемуха, |другие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|драцена и |           |ного),     |катальпа, |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|другие    |           |липа, лох, |клен      |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          |           |орех,      |ясенелист-|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          |           |ясень,     |ный и     |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          |           |платан,    |другие    |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          |           |ликвидамбар|          |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          |           |,          |          |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          |           |лириоденд- |          |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          |           |рон,       |          |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          |           |павловния и|          |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|          |           |другие     |          |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+———————————+——————————+———————————+———————————+——————————+———————————+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Местная администрация поселения, городского округа может составлять и утверждать перечень дополнительных древесных пород по их ценности на основании классификации, представленной в таблице 1.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5. Деревья подсчитываются поштучно.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6. Если дерево имеет несколько стволов, то в расчетах размера платы учитывается каждый ствол отдельно.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Если второстепенный ствол достиг в диаметре 5 см и растет на расстоянии более 0,5 м от основного ствола на высоте 1,3 м, то данный ствол считается как отдельное дерево.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7. Кустарники в группах лиственных и хвойных древесных пород (см. таблицу 1) подсчитываются поштучно.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8.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штукам, а при однорядной - 3 штукам.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9. Заросли самосевных деревьев и кустарников рассчитываются следующим образом: каждые 100 кв. м приравниваются к 20 деревьям.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t>     10. Самосевные деревья, относящиеся к 3-й группе лиственных древесных пород (таблица 1) и не достигшие в диаметре 5 см, в расчете не учитываются.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11. Величина травяного покрова определяется исходя из занимаемой им площади в квадратных метрах.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12. Величина цветника определяется исходя из занимаемой им площади в квадратных метрах.</w:t>
      </w:r>
    </w:p>
    <w:p w:rsidR="000665F5" w:rsidRPr="000665F5" w:rsidRDefault="000665F5" w:rsidP="000665F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Раздел III</w:t>
      </w:r>
      <w:r w:rsidRPr="000665F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Методика определения размера платы</w:t>
      </w:r>
      <w:r w:rsidRPr="000665F5">
        <w:rPr>
          <w:rFonts w:ascii="Arial" w:eastAsia="Times New Roman" w:hAnsi="Arial" w:cs="Arial"/>
          <w:b/>
          <w:bCs/>
          <w:color w:val="000000"/>
          <w:sz w:val="24"/>
        </w:rPr>
        <w:t> 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13. Размер платы при уничтожении i-го вида зеленых насаждений (деревья, кустарники, травяной покров, цветники, заросли) определяется по формуле: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Скоi = (Спi + Смi + Суi х Квд) х Км х Втi х 1,05,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 где Скоi - размер платы при уничтожении i-го вида зеленых насаждений (рублей);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Спi - оценочная стоимость посадки одной единицы (штук, кв. м) i-го вида зеленых насаждений (рублей);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Смi - оценочная стоимость одной единицы посадочного материала (штук, кв. м) i-го вида зеленых насаждений (рублей);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Суi - оценочная стоимость годового ухода за одной единицей (штук, кв. м) i-го вида зеленых насаждений (рублей);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Квд - количество лет восстановительного периода, учитываемого при расчете платы при уничтожении зеленых насаждений: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субтропических ценных, субтропических, хвойных деревьев - 10 лет,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лиственных деревьев 1-й группы - 7 лет,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лиственных деревьев 2-й группы - 5 лет,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лиственных деревьев 3-й группы - 3 года,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кустарников, травяного покрова, цветников и зарослей - 1 год;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Км - коэффициент поправки на местоположение зеленых насаждений на территории поселения (городского округа);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Втi - количество зеленых насаждений i-го вида, подлежащих уничтожению (штук, кв. м);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1,05 - коэффициент, учитывающий затраты на проектирование (по необходимости).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 xml:space="preserve">     14. Оценочная стоимость посадки, посадочного материала и годового ухода в 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t>отношении одной единицы (штук, кв. м) i-го вида зеленых насаждений (деревья, кустарники, травяной покров, цветники, заросли) , представленная в базовых ценах и подлежащая обязательной ежегодной корректировке на уровень инфляции, приведена в таблице 2: 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(В ред. </w:t>
      </w:r>
      <w:hyperlink r:id="rId34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29.05.2014 г. № 2974-КЗ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t>Таблица 2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</w:r>
    </w:p>
    <w:p w:rsidR="000665F5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t>Г——————————————————————T———————————————T——————————————T———————————————¬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|Классификация зеленых |Стоимость работ|  Стоимость   |Стоимость ухода|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насаждений      |  по созданию  | посадочного  |в течение года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           |   (посадке)   |  материала   |   (рублей)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           |    зеленых    |   (рублей)   |    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           |  насаждений   |              |    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                      |   (рублей)    |              |    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+——————————————————————+———————————————+——————————————+———————————————+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|Субтропические ценные |     1896      |    20000     |      912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|растения, 1 штука     |               |              |    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+——————————————————————+———————————————+——————————————+———————————————+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|Деревья               |     1896      |    12500     |      912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|субтропические, 1     |               |              |    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|штука                 |               |              |    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+——————————————————————+———————————————+——————————————+———————————————+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|Деревья хвойные, 1    |     1896      |     9500     |      912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|штука                 |               |              |    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+——————————————————————+———————————————+——————————————+———————————————+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|Деревья лиственные 1-й|     1149      |     4500     |      422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|группы, 1 штука       |               |              |    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+——————————————————————+———————————————+——————————————+———————————————+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|Деревья лиственные 2-й|     1149      |     3000     |      422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|группы, 1 штука       |               |              |    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lastRenderedPageBreak/>
        <w:t>+——————————————————————+———————————————+——————————————+———————————————+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|Деревья лиственные 3-й|     1149      |     2000     |      422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|группы, 1 штука       |               |              |    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+——————————————————————+———————————————+——————————————+———————————————+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|Кустарники, 1 штука   |      414      |     300      |      306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+——————————————————————+———————————————+——————————————+———————————————+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|Газон, естественный   |      211      |      10      |      270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|травяной покров,      |               |              |    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|1 кв. м               |               |              |         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+——————————————————————+———————————————+——————————————+———————————————+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|Цветники, 1 кв. м     |      181      |     630      |      452      |</w:t>
      </w:r>
      <w:r w:rsidRPr="000665F5">
        <w:rPr>
          <w:rFonts w:ascii="Courier New" w:eastAsia="Times New Roman" w:hAnsi="Courier New" w:cs="Courier New"/>
          <w:color w:val="332E2D"/>
          <w:spacing w:val="2"/>
          <w:sz w:val="24"/>
          <w:szCs w:val="24"/>
        </w:rPr>
        <w:br/>
        <w:t>+——————————————————————+———————————————+——————————————+———————————————+</w:t>
      </w:r>
    </w:p>
    <w:p w:rsidR="00321FAC" w:rsidRPr="000665F5" w:rsidRDefault="000665F5" w:rsidP="000665F5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 Оценочная стоимость на очередной финансовый год устанавливается органами местного самоуправления муниципальных образований Краснодарского края с учетом уровня инфляции, установленного федеральным законом о федеральном бюджете на очередной финансовый год.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(Абзац в ред. </w:t>
      </w:r>
      <w:hyperlink r:id="rId35" w:anchor="I0" w:history="1">
        <w:r w:rsidRPr="000665F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</w:rPr>
          <w:t>Закона Краснодарского края от 29.05.2014 г. № 2974-КЗ</w:t>
        </w:r>
      </w:hyperlink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t>)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15. Значения поправочных коэффициентов: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Км - коэффициент поправки на местоположение зеленых насаждений на территории поселения (городского округа):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в границах исторического центра - 6,0;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для территорий городских округов и городских поселений (за исключением территории исторического центра) - 4,0;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для территорий сельских поселений (за исключением территории исторического центра) - 3,0.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0665F5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16. 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sectPr w:rsidR="00321FAC" w:rsidRPr="000665F5" w:rsidSect="00E3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665F5"/>
    <w:rsid w:val="000665F5"/>
    <w:rsid w:val="00321FAC"/>
    <w:rsid w:val="00826249"/>
    <w:rsid w:val="00E3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71"/>
  </w:style>
  <w:style w:type="paragraph" w:styleId="3">
    <w:name w:val="heading 3"/>
    <w:basedOn w:val="a"/>
    <w:link w:val="30"/>
    <w:uiPriority w:val="9"/>
    <w:qFormat/>
    <w:rsid w:val="00066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65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665F5"/>
  </w:style>
  <w:style w:type="paragraph" w:styleId="a3">
    <w:name w:val="Normal (Web)"/>
    <w:basedOn w:val="a"/>
    <w:uiPriority w:val="99"/>
    <w:semiHidden/>
    <w:unhideWhenUsed/>
    <w:rsid w:val="0006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6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zsk.ru/kodeksdb/noframe/law?d&amp;nd=462527438&amp;prevDoc=462504681&amp;mark=000032I000002G0LPD3752863LD43V3D99S000003A2OP8PKB3VVVVVA" TargetMode="External"/><Relationship Id="rId13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18" Type="http://schemas.openxmlformats.org/officeDocument/2006/relationships/hyperlink" Target="http://www.kubzsk.ru/kodeksdb/noframe/law?d&amp;nd=462513209&amp;prevDoc=462504681&amp;mark=000032I0000O01000O12J2863LD23VVVVVV000003A1BAK8CJ3VVVVVA" TargetMode="External"/><Relationship Id="rId26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34" Type="http://schemas.openxmlformats.org/officeDocument/2006/relationships/hyperlink" Target="http://www.kubzsk.ru/kodeksdb/noframe/law?d&amp;nd=462513209&amp;prevDoc=462504681&amp;mark=000032I0000O01000O12J2863LD23VVVVVV000003A1BAK8CJ3VVVVVA" TargetMode="External"/><Relationship Id="rId7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12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17" Type="http://schemas.openxmlformats.org/officeDocument/2006/relationships/hyperlink" Target="http://www.kubzsk.ru/kodeksdb/noframe/law?d&amp;nd=462513209&amp;prevDoc=462504681&amp;mark=000032I0000O01000O12J2863LD23VVVVVV000003A1BAK8CJ3VVVVVA" TargetMode="External"/><Relationship Id="rId25" Type="http://schemas.openxmlformats.org/officeDocument/2006/relationships/hyperlink" Target="http://www.kubzsk.ru/kodeksdb/noframe/law?d&amp;nd=462527438&amp;prevDoc=462504681&amp;mark=000032I000002G0LPD3752863LD43V3D99S000003A2OP8PKB3VVVVVA" TargetMode="External"/><Relationship Id="rId33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20" Type="http://schemas.openxmlformats.org/officeDocument/2006/relationships/hyperlink" Target="http://www.kubzsk.ru/kodeksdb/noframe/law?d&amp;nd=462527438&amp;prevDoc=462504681&amp;mark=000032I000002G0LPD3752863LD43V3D99S000003A2OP8PKB3VVVVVA" TargetMode="External"/><Relationship Id="rId29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ubzsk.ru/kodeksdb/noframe/law?d&amp;nd=462527438&amp;prevDoc=462504681&amp;mark=000032I000002G0LPD3752863LD43V3D99S000003A2OP8PKB3VVVVVA" TargetMode="External"/><Relationship Id="rId11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24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32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15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23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28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19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31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4" Type="http://schemas.openxmlformats.org/officeDocument/2006/relationships/hyperlink" Target="http://www.kubzsk.ru/kodeksdb/noframe/law?d&amp;nd=462513209&amp;prevDoc=462504681&amp;mark=000032I0000O01000O12J2863LD23VVVVVV000003A1BAK8CJ3VVVVVA" TargetMode="External"/><Relationship Id="rId9" Type="http://schemas.openxmlformats.org/officeDocument/2006/relationships/hyperlink" Target="http://www.kubzsk.ru/kodeksdb/noframe/law?d&amp;nd=462527438&amp;prevDoc=462504681&amp;mark=000032I000002G0LPD3752863LD43V3D99S000003A2OP8PKB3VVVVVA" TargetMode="External"/><Relationship Id="rId14" Type="http://schemas.openxmlformats.org/officeDocument/2006/relationships/hyperlink" Target="http://www.kubzsk.ru/kodeksdb/noframe/law?d&amp;nd=462527438&amp;prevDoc=462504681&amp;mark=000032I000002G0LPD3752863LD43V3D99S000003A2OP8PKB3VVVVVA" TargetMode="External"/><Relationship Id="rId22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27" Type="http://schemas.openxmlformats.org/officeDocument/2006/relationships/hyperlink" Target="http://www.kubzsk.ru/kodeksdb/noframe/law?d&amp;nd=462520648&amp;prevDoc=462504681&amp;mark=000032I0000NVR03OHFNP2863LD33V3D99S000003A3SGHARJ3VVVVVA" TargetMode="External"/><Relationship Id="rId30" Type="http://schemas.openxmlformats.org/officeDocument/2006/relationships/hyperlink" Target="http://www.kubzsk.ru/kodeksdb/noframe/law?d&amp;nd=462527438&amp;prevDoc=462504681&amp;mark=000032I000002G0LPD3752863LD43V3D99S000003A2OP8PKB3VVVVVA" TargetMode="External"/><Relationship Id="rId35" Type="http://schemas.openxmlformats.org/officeDocument/2006/relationships/hyperlink" Target="http://www.kubzsk.ru/kodeksdb/noframe/law?d&amp;nd=462513209&amp;prevDoc=462504681&amp;mark=000032I0000O01000O12J2863LD23VVVVVV000003A1BAK8CJ3VVVV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5605</Words>
  <Characters>31949</Characters>
  <Application>Microsoft Office Word</Application>
  <DocSecurity>0</DocSecurity>
  <Lines>266</Lines>
  <Paragraphs>74</Paragraphs>
  <ScaleCrop>false</ScaleCrop>
  <Company>Молдаванское поселение</Company>
  <LinksUpToDate>false</LinksUpToDate>
  <CharactersWithSpaces>37480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Comp_1</cp:lastModifiedBy>
  <cp:revision>2</cp:revision>
  <dcterms:created xsi:type="dcterms:W3CDTF">2019-08-06T11:02:00Z</dcterms:created>
  <dcterms:modified xsi:type="dcterms:W3CDTF">2019-08-06T11:02:00Z</dcterms:modified>
</cp:coreProperties>
</file>