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091943" w:rsidRPr="002A0EAA" w:rsidTr="00BD33F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943" w:rsidRPr="002A0EAA" w:rsidRDefault="00091943" w:rsidP="00FD6D98">
            <w:pPr>
              <w:pStyle w:val="a8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091943" w:rsidRPr="002A0EAA" w:rsidRDefault="00091943" w:rsidP="00FD6D9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091943" w:rsidRPr="002A0EAA" w:rsidTr="00BD33F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091943" w:rsidRPr="002A0EAA" w:rsidTr="00BD33F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91943" w:rsidRPr="002A0EAA" w:rsidTr="00BD33F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43" w:rsidRPr="002A0EAA" w:rsidTr="00BD33F4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943" w:rsidRPr="002A0EAA" w:rsidRDefault="004413CC" w:rsidP="00FD6D98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943" w:rsidRPr="002A0EAA" w:rsidRDefault="004413CC" w:rsidP="00FD6D98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943" w:rsidRPr="002A0EAA" w:rsidTr="00BD33F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091943" w:rsidRPr="00032AA2" w:rsidRDefault="00091943" w:rsidP="00032A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D6D98" w:rsidRPr="00032AA2" w:rsidRDefault="00FD6D98" w:rsidP="00032A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D6D98" w:rsidRPr="00032AA2" w:rsidRDefault="00FD6D98" w:rsidP="00032A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32AA2" w:rsidRDefault="00091943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Об утверждении порядка управления </w:t>
      </w:r>
    </w:p>
    <w:p w:rsidR="00032AA2" w:rsidRDefault="00091943" w:rsidP="00032AA2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091943">
        <w:rPr>
          <w:rStyle w:val="a3"/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032AA2" w:rsidRDefault="00091943" w:rsidP="001A38D1">
      <w:pPr>
        <w:pStyle w:val="a8"/>
        <w:tabs>
          <w:tab w:val="left" w:pos="7938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акциями акционерных обществ, долями </w:t>
      </w:r>
      <w:proofErr w:type="gramStart"/>
      <w:r w:rsidRPr="00091943">
        <w:rPr>
          <w:rStyle w:val="a3"/>
          <w:rFonts w:ascii="Times New Roman" w:hAnsi="Times New Roman" w:cs="Times New Roman"/>
          <w:sz w:val="28"/>
          <w:szCs w:val="28"/>
        </w:rPr>
        <w:t>в</w:t>
      </w:r>
      <w:proofErr w:type="gramEnd"/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032AA2" w:rsidRDefault="00091943" w:rsidP="00032AA2">
      <w:pPr>
        <w:pStyle w:val="a8"/>
        <w:tabs>
          <w:tab w:val="left" w:pos="7938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уставном капитале обществ с </w:t>
      </w:r>
      <w:proofErr w:type="gramStart"/>
      <w:r w:rsidRPr="00091943">
        <w:rPr>
          <w:rStyle w:val="a3"/>
          <w:rFonts w:ascii="Times New Roman" w:hAnsi="Times New Roman" w:cs="Times New Roman"/>
          <w:sz w:val="28"/>
          <w:szCs w:val="28"/>
        </w:rPr>
        <w:t>ограниченной</w:t>
      </w:r>
      <w:proofErr w:type="gramEnd"/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1A38D1" w:rsidRDefault="00091943" w:rsidP="00032AA2">
      <w:pPr>
        <w:pStyle w:val="a8"/>
        <w:tabs>
          <w:tab w:val="left" w:pos="7938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ответственностью, </w:t>
      </w:r>
      <w:proofErr w:type="gramStart"/>
      <w:r w:rsidRPr="00091943">
        <w:rPr>
          <w:rStyle w:val="a3"/>
          <w:rFonts w:ascii="Times New Roman" w:hAnsi="Times New Roman" w:cs="Times New Roman"/>
          <w:sz w:val="28"/>
          <w:szCs w:val="28"/>
        </w:rPr>
        <w:t>созданных</w:t>
      </w:r>
      <w:proofErr w:type="gramEnd"/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 в процессе </w:t>
      </w:r>
    </w:p>
    <w:p w:rsidR="00091943" w:rsidRDefault="00091943" w:rsidP="00032AA2">
      <w:pPr>
        <w:pStyle w:val="a8"/>
        <w:tabs>
          <w:tab w:val="left" w:pos="7938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91943">
        <w:rPr>
          <w:rStyle w:val="a3"/>
          <w:rFonts w:ascii="Times New Roman" w:hAnsi="Times New Roman" w:cs="Times New Roman"/>
          <w:sz w:val="28"/>
          <w:szCs w:val="28"/>
        </w:rPr>
        <w:t>приватизации</w:t>
      </w:r>
    </w:p>
    <w:p w:rsidR="00091943" w:rsidRPr="00032AA2" w:rsidRDefault="00091943" w:rsidP="00032AA2">
      <w:pPr>
        <w:pStyle w:val="a8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D6D98" w:rsidRDefault="00FD6D98" w:rsidP="00032AA2">
      <w:pPr>
        <w:pStyle w:val="a8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32AA2" w:rsidRPr="00032AA2" w:rsidRDefault="00032AA2" w:rsidP="00032AA2">
      <w:pPr>
        <w:pStyle w:val="a8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91943" w:rsidRDefault="00091943" w:rsidP="00FD6D98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943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</w:t>
      </w:r>
      <w:r w:rsidR="00FD6D98">
        <w:rPr>
          <w:rFonts w:ascii="Times New Roman" w:hAnsi="Times New Roman" w:cs="Times New Roman"/>
          <w:sz w:val="28"/>
          <w:szCs w:val="28"/>
        </w:rPr>
        <w:t xml:space="preserve"> законом от 26 декабря 1995 г.</w:t>
      </w:r>
      <w:r w:rsidRPr="00091943">
        <w:rPr>
          <w:rFonts w:ascii="Times New Roman" w:hAnsi="Times New Roman" w:cs="Times New Roman"/>
          <w:sz w:val="28"/>
          <w:szCs w:val="28"/>
        </w:rPr>
        <w:t xml:space="preserve"> № 208-ФЗ «Об акционерных обществах», Федеральным законом от 8 февраля 1998 г</w:t>
      </w:r>
      <w:r w:rsidR="00FD6D98">
        <w:rPr>
          <w:rFonts w:ascii="Times New Roman" w:hAnsi="Times New Roman" w:cs="Times New Roman"/>
          <w:sz w:val="28"/>
          <w:szCs w:val="28"/>
        </w:rPr>
        <w:t>.</w:t>
      </w:r>
      <w:r w:rsidRPr="00091943">
        <w:rPr>
          <w:rFonts w:ascii="Times New Roman" w:hAnsi="Times New Roman" w:cs="Times New Roman"/>
          <w:sz w:val="28"/>
          <w:szCs w:val="28"/>
        </w:rPr>
        <w:t xml:space="preserve"> № 14-ФЗ «Об обществах </w:t>
      </w:r>
      <w:r w:rsidR="00FD6D98">
        <w:rPr>
          <w:rFonts w:ascii="Times New Roman" w:hAnsi="Times New Roman" w:cs="Times New Roman"/>
          <w:sz w:val="28"/>
          <w:szCs w:val="28"/>
        </w:rPr>
        <w:t>с ограниченной ответственностью»</w:t>
      </w:r>
      <w:r w:rsidRPr="00091943">
        <w:rPr>
          <w:rFonts w:ascii="Times New Roman" w:hAnsi="Times New Roman" w:cs="Times New Roman"/>
          <w:sz w:val="28"/>
          <w:szCs w:val="28"/>
        </w:rPr>
        <w:t>, Федеральным з</w:t>
      </w:r>
      <w:r w:rsidR="00FD6D98">
        <w:rPr>
          <w:rFonts w:ascii="Times New Roman" w:hAnsi="Times New Roman" w:cs="Times New Roman"/>
          <w:sz w:val="28"/>
          <w:szCs w:val="28"/>
        </w:rPr>
        <w:t>аконом от 21 декабря 2001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6D98">
        <w:rPr>
          <w:rFonts w:ascii="Times New Roman" w:hAnsi="Times New Roman" w:cs="Times New Roman"/>
          <w:sz w:val="28"/>
          <w:szCs w:val="28"/>
        </w:rPr>
        <w:t xml:space="preserve"> 178-ФЗ «</w:t>
      </w:r>
      <w:r w:rsidRPr="00091943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района,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</w:t>
      </w:r>
      <w:proofErr w:type="spellStart"/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 л я 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91943" w:rsidRPr="00167D3D" w:rsidRDefault="00091943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3D">
        <w:rPr>
          <w:rFonts w:ascii="Times New Roman" w:hAnsi="Times New Roman" w:cs="Times New Roman"/>
          <w:sz w:val="28"/>
          <w:szCs w:val="28"/>
        </w:rPr>
        <w:t>1.</w:t>
      </w:r>
      <w:r w:rsidR="00FD6D98">
        <w:rPr>
          <w:rFonts w:ascii="Times New Roman" w:hAnsi="Times New Roman" w:cs="Times New Roman"/>
          <w:sz w:val="28"/>
          <w:szCs w:val="28"/>
        </w:rPr>
        <w:t xml:space="preserve"> </w:t>
      </w:r>
      <w:r w:rsidRPr="00091943">
        <w:rPr>
          <w:rFonts w:ascii="Times New Roman" w:hAnsi="Times New Roman" w:cs="Times New Roman"/>
          <w:sz w:val="28"/>
          <w:szCs w:val="28"/>
        </w:rPr>
        <w:t xml:space="preserve">Утвердить Порядок управления находящимися в муниципальной собственности акциями акционерных обществ, долями в уставном капитале обществ с ограниченной ответственностью, созданных в процессе приватизации </w:t>
      </w:r>
      <w:r w:rsidRPr="00167D3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91943" w:rsidRPr="00167D3D" w:rsidRDefault="00091943" w:rsidP="00FD6D98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Обнародовать настоящее постановление в установ</w:t>
      </w:r>
      <w:r w:rsidR="001A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ленном порядке и разместить 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администрации Гришковского сельского поселения Калининского райо</w:t>
      </w:r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 сети «Интернет» </w:t>
      </w:r>
      <w:proofErr w:type="spellStart"/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1943" w:rsidRPr="00167D3D" w:rsidRDefault="00091943" w:rsidP="00FD6D98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091943" w:rsidRPr="00167D3D" w:rsidRDefault="00091943" w:rsidP="00FD6D98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обнародования.</w:t>
      </w:r>
    </w:p>
    <w:p w:rsidR="00091943" w:rsidRDefault="00091943" w:rsidP="00FD6D9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D98" w:rsidRDefault="00FD6D98" w:rsidP="00FD6D9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D98" w:rsidRPr="00A814B2" w:rsidRDefault="00FD6D98" w:rsidP="00FD6D9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943" w:rsidRPr="00A814B2" w:rsidRDefault="00091943" w:rsidP="00FD6D9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1A38D1" w:rsidRDefault="00091943" w:rsidP="00FD6D9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A38D1" w:rsidSect="001A38D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</w:t>
      </w:r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A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В.А. </w:t>
      </w:r>
      <w:proofErr w:type="spellStart"/>
      <w:r w:rsidR="001A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Даценко</w:t>
      </w:r>
      <w:proofErr w:type="spellEnd"/>
    </w:p>
    <w:p w:rsidR="00091943" w:rsidRPr="00FD6D98" w:rsidRDefault="001A38D1" w:rsidP="001A38D1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091943" w:rsidRPr="00FD6D98" w:rsidRDefault="00091943" w:rsidP="001A38D1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091943" w:rsidRPr="00FD6D98" w:rsidRDefault="00091943" w:rsidP="001A38D1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D6D98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091943" w:rsidRPr="00FD6D98" w:rsidRDefault="00091943" w:rsidP="001A38D1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D6D98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1A38D1" w:rsidRDefault="00091943" w:rsidP="001A38D1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D6D98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FD6D9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FD6D98" w:rsidRPr="00FD6D98" w:rsidRDefault="00FD6D98" w:rsidP="001A38D1">
      <w:pPr>
        <w:pStyle w:val="a8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1A38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01.10.2019 г.  № 95</w:t>
      </w:r>
    </w:p>
    <w:p w:rsidR="001A38D1" w:rsidRPr="00FD6D98" w:rsidRDefault="001A38D1" w:rsidP="00FD6D98">
      <w:pPr>
        <w:pStyle w:val="a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D6D98" w:rsidRDefault="00FD6D98" w:rsidP="00FD6D98">
      <w:pPr>
        <w:pStyle w:val="a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30429" w:rsidRPr="00FD6D98" w:rsidRDefault="00D30429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D6D98">
        <w:rPr>
          <w:rStyle w:val="a3"/>
          <w:rFonts w:ascii="Times New Roman" w:hAnsi="Times New Roman" w:cs="Times New Roman"/>
          <w:sz w:val="28"/>
          <w:szCs w:val="28"/>
        </w:rPr>
        <w:t>Порядок</w:t>
      </w:r>
    </w:p>
    <w:p w:rsidR="00FD6D98" w:rsidRDefault="00D30429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D6D98">
        <w:rPr>
          <w:rStyle w:val="a3"/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 w:rsidRPr="00FD6D98">
        <w:rPr>
          <w:rStyle w:val="a3"/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FD6D98">
        <w:rPr>
          <w:rStyle w:val="a3"/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FD6D98" w:rsidRDefault="00D30429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D6D98">
        <w:rPr>
          <w:rStyle w:val="a3"/>
          <w:rFonts w:ascii="Times New Roman" w:hAnsi="Times New Roman" w:cs="Times New Roman"/>
          <w:sz w:val="28"/>
          <w:szCs w:val="28"/>
        </w:rPr>
        <w:t>акциями акционерных обществ, долями в уставном капитале</w:t>
      </w:r>
    </w:p>
    <w:p w:rsidR="00FD6D98" w:rsidRDefault="00D30429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D6D98">
        <w:rPr>
          <w:rStyle w:val="a3"/>
          <w:rFonts w:ascii="Times New Roman" w:hAnsi="Times New Roman" w:cs="Times New Roman"/>
          <w:sz w:val="28"/>
          <w:szCs w:val="28"/>
        </w:rPr>
        <w:t xml:space="preserve"> обществ с ограниченной ответственностью, созданных </w:t>
      </w:r>
    </w:p>
    <w:p w:rsidR="00721A7F" w:rsidRPr="00FD6D98" w:rsidRDefault="00D30429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D6D98">
        <w:rPr>
          <w:rStyle w:val="a3"/>
          <w:rFonts w:ascii="Times New Roman" w:hAnsi="Times New Roman" w:cs="Times New Roman"/>
          <w:sz w:val="28"/>
          <w:szCs w:val="28"/>
        </w:rPr>
        <w:t>в процессе приватизации</w:t>
      </w:r>
    </w:p>
    <w:p w:rsidR="00D30429" w:rsidRDefault="00D30429" w:rsidP="00FD6D98">
      <w:pPr>
        <w:pStyle w:val="a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D6D98" w:rsidRPr="00FD6D98" w:rsidRDefault="00FD6D98" w:rsidP="00FD6D98">
      <w:pPr>
        <w:pStyle w:val="a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1. Настоящий Порядок определяет порядок и способы управления находящимися в муниципальной собственности акциями акционерных обществ, долями в уставном капитале обществ с ограниченной ответственностью, созданных в процессе приватизации (далее - акции и доли).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2. Управление находящимися в собственности </w:t>
      </w:r>
      <w:r w:rsidR="00B33909" w:rsidRPr="00FD6D9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FD6D9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A38D1">
        <w:rPr>
          <w:rFonts w:ascii="Times New Roman" w:hAnsi="Times New Roman" w:cs="Times New Roman"/>
          <w:sz w:val="28"/>
          <w:szCs w:val="28"/>
        </w:rPr>
        <w:t xml:space="preserve"> </w:t>
      </w:r>
      <w:r w:rsidR="00FD6D98">
        <w:rPr>
          <w:rFonts w:ascii="Times New Roman" w:hAnsi="Times New Roman" w:cs="Times New Roman"/>
          <w:sz w:val="28"/>
          <w:szCs w:val="28"/>
        </w:rPr>
        <w:t xml:space="preserve">- </w:t>
      </w:r>
      <w:r w:rsidR="00B33909" w:rsidRPr="00FD6D9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FD6D98">
        <w:rPr>
          <w:rFonts w:ascii="Times New Roman" w:hAnsi="Times New Roman" w:cs="Times New Roman"/>
          <w:sz w:val="28"/>
          <w:szCs w:val="28"/>
        </w:rPr>
        <w:t>) акциями и долями осуществляется следующими способами: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а) посредством участия в органах управления акционерных обществ и обществ с ограниченной ответственностью;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б) посредством отчуждения акций и долей в собственность физических и юридических лиц в порядке, предусмотренном законодательством Российской Федерации.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3. Целями управления находящимися в муниципальной собственности акциями, долями являются: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а) обеспечение поступления в бюджет </w:t>
      </w:r>
      <w:r w:rsidR="00B33909" w:rsidRPr="00FD6D98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FD6D98">
        <w:rPr>
          <w:rFonts w:ascii="Times New Roman" w:hAnsi="Times New Roman" w:cs="Times New Roman"/>
          <w:sz w:val="28"/>
          <w:szCs w:val="28"/>
        </w:rPr>
        <w:t>доходов в виде прибыли, приходящейся на доли в уставных капиталах обществ с ограниченной ответственностью, или дивидендов по акциям, принадлежащим муниципальному образованию;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б) повышение эффективности управления акциями и долями;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в) сохранение рабочих мест в акционерных обществах и обществах с ограниченной ответственностью;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г) привлечение инвестиций в акционерные общества и общества с ограниченной ответственностью.</w:t>
      </w:r>
    </w:p>
    <w:p w:rsidR="00D30429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4. Права акционера в акционерном обществе, права участника общества с ограниченной ответственностью, созданных в процессе приватизации, акции и доли которых находятся в муниципальной собственности </w:t>
      </w:r>
      <w:r w:rsidR="00B33909" w:rsidRPr="00FD6D98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района, </w:t>
      </w:r>
      <w:r w:rsidRPr="00FD6D98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B33909" w:rsidRPr="00FD6D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6D98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r w:rsidR="00B33909" w:rsidRPr="00FD6D98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FD6D98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1A38D1" w:rsidRDefault="001A38D1" w:rsidP="00FD6D98">
      <w:pPr>
        <w:pStyle w:val="a8"/>
        <w:jc w:val="center"/>
        <w:rPr>
          <w:rFonts w:ascii="Times New Roman" w:hAnsi="Times New Roman" w:cs="Times New Roman"/>
          <w:sz w:val="24"/>
          <w:szCs w:val="24"/>
        </w:rPr>
        <w:sectPr w:rsidR="001A38D1" w:rsidSect="001A38D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6D98" w:rsidRPr="00FD6D98" w:rsidRDefault="00FD6D98" w:rsidP="00FD6D9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волеизъявление акционера - </w:t>
      </w:r>
      <w:r w:rsidR="00B33909" w:rsidRPr="00FD6D98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FD6D98">
        <w:rPr>
          <w:rFonts w:ascii="Times New Roman" w:hAnsi="Times New Roman" w:cs="Times New Roman"/>
          <w:sz w:val="28"/>
          <w:szCs w:val="28"/>
        </w:rPr>
        <w:t>в акционерном обществе, в том числе вносит вопросы в повестку дня общего собрания акционеров акционерного общества (далее - общее собрание акционеров), выдвигает кандидатов для избрания в органы управления, ревизионную и счетную комиссии, предъявляет требования о проведении внеочередного общего собрания акционеров, созывает внеочередное общее собрание акционеров, назначает представителя (выдает доверенности) для голосования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на общем собрании акционеров, определяет позицию по вопросам повестки дня общего собрания акционеров.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6. Представитель действует на основании выданной уполномоченным органом доверенности.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7. В цел</w:t>
      </w:r>
      <w:r w:rsidR="00FD6D98">
        <w:rPr>
          <w:rFonts w:ascii="Times New Roman" w:hAnsi="Times New Roman" w:cs="Times New Roman"/>
          <w:sz w:val="28"/>
          <w:szCs w:val="28"/>
        </w:rPr>
        <w:t xml:space="preserve">ях подготовки позиции акционера - </w:t>
      </w:r>
      <w:r w:rsidR="00B33909" w:rsidRPr="00FD6D9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D6D98">
        <w:rPr>
          <w:rFonts w:ascii="Times New Roman" w:hAnsi="Times New Roman" w:cs="Times New Roman"/>
          <w:sz w:val="28"/>
          <w:szCs w:val="28"/>
        </w:rPr>
        <w:t xml:space="preserve"> </w:t>
      </w:r>
      <w:r w:rsidRPr="00FD6D98">
        <w:rPr>
          <w:rFonts w:ascii="Times New Roman" w:hAnsi="Times New Roman" w:cs="Times New Roman"/>
          <w:sz w:val="28"/>
          <w:szCs w:val="28"/>
        </w:rPr>
        <w:t xml:space="preserve">- уполномоченный орган направляет сообщение о проведении общего собрания акционеров с приложением повестки дня и материалов, полученных от акционерного общества, в 5-дневный срок с даты их получения, но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20 дней до даты проведения общего собрания акционеров, а если повестка дня общего собрания акционеров содержит вопрос о реорганизации акционерного общества -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25 дней до указанной даты.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Уполномоченный орган направляет свое предложение, касающееся голосования по вопросам повестки дня годового общего собрания акционеров в течение 3-х дней после получения сообщения о проведении годового общего собрания акционеров, но не позднее 15-ти дней до даты проведения годового общего собрания акционеров, а если повестка дня годового общего собрания акционеров содержит вопрос о реорганизации акционерного общества - не позднее 20-ти дней до указанной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даты.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9. Также Администрация свое предложение по вопросу предъявления требования о проведении внеочередного общего собрания акционеров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20 дней до предполагаемой даты его проведения. В случае если в повестку дня внеочередного общего собрания акционеров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включается вопрос об избрании членов совета директоров указанный срок составляет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30 дней.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Указанное предложение должно содержать формулировки вопросов, подлежащих внесению в повестку дня внеочередного общего собрания акционеров, и формулировки решений по ним, а также предложение о форме проведения общего собрания акционеров. Предложение представляется с пояснительной запиской, содержащей обоснование внесения в повестку дня предлагаемого вопроса, а также с приложением материалов, необходимых для принятия решения.</w:t>
      </w:r>
    </w:p>
    <w:p w:rsidR="00D30429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10. При внесении в повестку дня внеочередного общего собрания акционеров вопроса об изменении состава органов управления, ревизионной и счетной комиссий также представляется информация о кандидатах для избрания в органы управления, ревизионную и счетную комиссии акционерного общества.</w:t>
      </w:r>
    </w:p>
    <w:p w:rsidR="00FD6D98" w:rsidRDefault="00FD6D98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35B" w:rsidRDefault="009A235B" w:rsidP="00FD6D98">
      <w:pPr>
        <w:pStyle w:val="a8"/>
        <w:jc w:val="center"/>
        <w:rPr>
          <w:rFonts w:ascii="Times New Roman" w:hAnsi="Times New Roman" w:cs="Times New Roman"/>
          <w:sz w:val="24"/>
          <w:szCs w:val="24"/>
        </w:rPr>
        <w:sectPr w:rsidR="009A235B" w:rsidSect="001A38D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D6D98" w:rsidRPr="00FD6D98" w:rsidRDefault="00FD6D98" w:rsidP="00FD6D9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11. Администрация направляет свое предложение по внесению вопросов в повестку дня годового общего собрания акционеров и выдвижению кандидатов для избрания на указанном собрании в органы управления, ревизионную и счетную комиссии до 30 декабря года, предшествующего году проведения годового общего собрания акционеров. Предложение должно содержать позицию, касающуюся голосования по предлагаемым вопросам, формулировки решений по ним с приложением пояснительной записки и необходимых материалов, а также информацию о кандидатах для избрания в органы управления, ревизионную и счетную комиссии акционерного общества.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волеизъявление участника общества с ограниченной ответственностью </w:t>
      </w:r>
      <w:r w:rsidR="00FD6D98">
        <w:rPr>
          <w:rFonts w:ascii="Times New Roman" w:hAnsi="Times New Roman" w:cs="Times New Roman"/>
          <w:sz w:val="28"/>
          <w:szCs w:val="28"/>
        </w:rPr>
        <w:t xml:space="preserve">- </w:t>
      </w:r>
      <w:r w:rsidR="00B33909" w:rsidRPr="00FD6D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6D98">
        <w:rPr>
          <w:rFonts w:ascii="Times New Roman" w:hAnsi="Times New Roman" w:cs="Times New Roman"/>
          <w:sz w:val="28"/>
          <w:szCs w:val="28"/>
        </w:rPr>
        <w:t xml:space="preserve"> - в обществе с ограниченной ответственностью, в том числе вносит предложения о включении в повестку дня общего собрания участников общества с ограниченной ответственностью (далее - общее собрание участников общества) вопросов, выдвигает кандидата (кандидатов) для назначения в качестве единоличного исполнительного органа общества с ограниченной ответственностью, предъявляет требования о проведении внеочередного общего собрания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участников общества, созывает внеочередное общее собрание участников общества, назначает представителя (выдает доверенности) для голосования на общем собрании участников общества, определяет позицию по вопросам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повестки дня общего собрания участников общества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>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13. Представитель действует на основании выданной уполномоченным органом доверенности.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14. В целях подготовки позиции участника общества с ограниченной ответственностью </w:t>
      </w:r>
      <w:r w:rsidR="00FD6D98">
        <w:rPr>
          <w:rFonts w:ascii="Times New Roman" w:hAnsi="Times New Roman" w:cs="Times New Roman"/>
          <w:sz w:val="28"/>
          <w:szCs w:val="28"/>
        </w:rPr>
        <w:t xml:space="preserve">- </w:t>
      </w:r>
      <w:r w:rsidR="00CB5910" w:rsidRPr="00FD6D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6D98">
        <w:rPr>
          <w:rFonts w:ascii="Times New Roman" w:hAnsi="Times New Roman" w:cs="Times New Roman"/>
          <w:sz w:val="28"/>
          <w:szCs w:val="28"/>
        </w:rPr>
        <w:t xml:space="preserve"> - уполномоченный орган направляет сообщение о проведении общего собрания участников общества с приложением повестки дня и материалов, полученных от общества с ограниченной ответственностью, в 5-дневный срок с даты их получения, но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20 дней до даты проведения общего собрания участников общества, а если повестка дня общего собрания участников общества содержит вопрос о реорганизации общества с ограниченной ответственностью -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25 дней до указанной даты.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Администрация направляет свое предложение, касающееся голосования по вопросам повестки дня очередного общего собрания участников общества, в течение 3-х дней после получения сообщения о проведении общего собрания участников общества, но не позднее 15-ти дней до даты проведения общего собрания участников общества, а если повестка дня общего собрания участников общества содержит вопрос о реорганизации общества с ограниченной ответственностью - не позднее 20-ти дней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до указанной даты.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16. Администрация направляет свое предложение, связанное с предъявлением требований о проведении внеочередного общего собрания участников общества, содержащее формулировки вопросов, подлежащих внесению в повестку дня внеочередного общего собрания участников общества, и формулировки соответствующих решений,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20 дней до даты его проведения.</w:t>
      </w:r>
    </w:p>
    <w:p w:rsidR="009A235B" w:rsidRDefault="009A235B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A235B" w:rsidSect="001A38D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9A235B" w:rsidRPr="009A235B" w:rsidRDefault="009A235B" w:rsidP="009A235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17. При внесении в повестку дня вопроса об избрании единоличного исполнительного органа общества с ограниченной ответственностью также представляется информация о кандидате (кандидатах).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18. Администрация направляет свое предложение по внесению вопросов в повестку дня общего собрания участников общества и выдвижению кандидата (кандидатов) для назначения единоличного исполнительного органа общества с ограниченной ответственностью, содержащее позицию, касающуюся голосования по предлагаемым вопросам и формулировки соответствующих решений,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20 дней до срока проведения общего собрания участников общества, определенного уставом общества с ограниченной ответственностью.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19. Учет акций и долей, находящихся в муниципальной собственности </w:t>
      </w:r>
      <w:r w:rsidR="00CB5910" w:rsidRPr="00FD6D9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FD6D98">
        <w:rPr>
          <w:rFonts w:ascii="Times New Roman" w:hAnsi="Times New Roman" w:cs="Times New Roman"/>
          <w:sz w:val="28"/>
          <w:szCs w:val="28"/>
        </w:rPr>
        <w:t xml:space="preserve">, ведет уполномоченный орган в соответствии с Порядком управления и распоряжения имуществом, находящимся в муниципальной собственности, утвержденным решением Совета </w:t>
      </w:r>
      <w:r w:rsidR="00CB5910" w:rsidRPr="00FD6D9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FD6D98">
        <w:rPr>
          <w:rFonts w:ascii="Times New Roman" w:hAnsi="Times New Roman" w:cs="Times New Roman"/>
          <w:sz w:val="28"/>
          <w:szCs w:val="28"/>
        </w:rPr>
        <w:t>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20. Акции и доли подлежат включению в реестр муниципального имущества </w:t>
      </w:r>
      <w:r w:rsidR="00CB5910" w:rsidRPr="00FD6D9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FD6D98">
        <w:rPr>
          <w:rFonts w:ascii="Times New Roman" w:hAnsi="Times New Roman" w:cs="Times New Roman"/>
          <w:sz w:val="28"/>
          <w:szCs w:val="28"/>
        </w:rPr>
        <w:t>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21. При включении акций и долей в реестр муниципального имущества </w:t>
      </w:r>
      <w:r w:rsidR="00CB5910" w:rsidRPr="00FD6D98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bookmarkStart w:id="0" w:name="_GoBack"/>
      <w:bookmarkEnd w:id="0"/>
      <w:r w:rsidRPr="00FD6D98">
        <w:rPr>
          <w:rFonts w:ascii="Times New Roman" w:hAnsi="Times New Roman" w:cs="Times New Roman"/>
          <w:sz w:val="28"/>
          <w:szCs w:val="28"/>
        </w:rPr>
        <w:t>в обязательном порядке указывается размер и номинальная стоимость акций и долей.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22. Продажа акций и долей осуществляется в соответствии с Федеральным</w:t>
      </w:r>
      <w:r w:rsidR="009A235B">
        <w:rPr>
          <w:rFonts w:ascii="Times New Roman" w:hAnsi="Times New Roman" w:cs="Times New Roman"/>
          <w:sz w:val="28"/>
          <w:szCs w:val="28"/>
        </w:rPr>
        <w:t xml:space="preserve"> законом от 21 декабря 2001 г.</w:t>
      </w:r>
      <w:r w:rsidRPr="00FD6D98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23. Вопросы, не урегулированные настоящим Порядком, решаются в соответствии с законодательством Российской Федерации.</w:t>
      </w:r>
    </w:p>
    <w:p w:rsidR="00D30429" w:rsidRPr="00FD6D98" w:rsidRDefault="00D30429" w:rsidP="00FD6D9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E39" w:rsidRPr="00FD6D98" w:rsidRDefault="00F81E39" w:rsidP="00FD6D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81E39" w:rsidRPr="00FD6D98" w:rsidRDefault="00F81E39" w:rsidP="00FD6D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81E39" w:rsidRPr="00FD6D98" w:rsidRDefault="00F81E39" w:rsidP="00FD6D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F81E39" w:rsidRPr="00FD6D98" w:rsidRDefault="00F81E39" w:rsidP="00FD6D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</w:t>
      </w:r>
      <w:r w:rsidR="009A23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6D98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FD6D98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</w:p>
    <w:sectPr w:rsidR="00F81E39" w:rsidRPr="00FD6D98" w:rsidSect="001A38D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42"/>
    <w:rsid w:val="00032AA2"/>
    <w:rsid w:val="00091943"/>
    <w:rsid w:val="001A38D1"/>
    <w:rsid w:val="00285B07"/>
    <w:rsid w:val="00424242"/>
    <w:rsid w:val="004413CC"/>
    <w:rsid w:val="00721A7F"/>
    <w:rsid w:val="009A235B"/>
    <w:rsid w:val="00A32672"/>
    <w:rsid w:val="00B33909"/>
    <w:rsid w:val="00CB5910"/>
    <w:rsid w:val="00D30429"/>
    <w:rsid w:val="00E80617"/>
    <w:rsid w:val="00F81E39"/>
    <w:rsid w:val="00FB336F"/>
    <w:rsid w:val="00FD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943"/>
    <w:rPr>
      <w:b/>
      <w:bCs/>
    </w:rPr>
  </w:style>
  <w:style w:type="character" w:styleId="a4">
    <w:name w:val="Hyperlink"/>
    <w:basedOn w:val="a0"/>
    <w:uiPriority w:val="99"/>
    <w:semiHidden/>
    <w:unhideWhenUsed/>
    <w:rsid w:val="00091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94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3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6D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943"/>
    <w:rPr>
      <w:b/>
      <w:bCs/>
    </w:rPr>
  </w:style>
  <w:style w:type="character" w:styleId="a4">
    <w:name w:val="Hyperlink"/>
    <w:basedOn w:val="a0"/>
    <w:uiPriority w:val="99"/>
    <w:semiHidden/>
    <w:unhideWhenUsed/>
    <w:rsid w:val="00091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94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3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2019-10-02T11:26:00Z</cp:lastPrinted>
  <dcterms:created xsi:type="dcterms:W3CDTF">2019-05-22T11:12:00Z</dcterms:created>
  <dcterms:modified xsi:type="dcterms:W3CDTF">2019-10-02T11:26:00Z</dcterms:modified>
</cp:coreProperties>
</file>